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ОБХОДНОЙ ЛИСТ ДЛЯ СДАЧИ ОТЧЕТА ЗА 2023 ГОД В ОЧНОЙ ФОРМЕ </w:t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 w:eastAsia="Times New Roman"/>
          <w:b/>
        </w:rPr>
        <w:t xml:space="preserve">Наименование организации_____________________________________________________________</w:t>
      </w:r>
      <w:r>
        <w:rPr>
          <w:rFonts w:ascii="Times New Roman" w:hAnsi="Times New Roman"/>
          <w:b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4111"/>
      </w:tblGrid>
      <w:tr>
        <w:trPr>
          <w:trHeight w:val="718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№ формы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Номер таблиц в форме № 30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№ кабинета,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Ф.И.О. специалиста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Замечания и роспись специалиста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648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№30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 xml:space="preserve">2513, 5100, 5111,5112, 5113, 5114, 5115, 5116 5117, 5118, 511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каб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228 Тюрина Е.М..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 xml:space="preserve">5124, 5125, 5126, 5300,5301, 5302, 5401, 5402,5404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каб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230 Долгова С.В.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2800, 2801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каб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231 Хилов А.В.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2100-2108, 2700-2710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каб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231 </w:t>
            </w:r>
            <w:r>
              <w:rPr>
                <w:rFonts w:ascii="Times New Roman" w:hAnsi="Times New Roman" w:eastAsia="Times New Roman"/>
              </w:rPr>
              <w:t xml:space="preserve">АфиногеноваТ.В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 xml:space="preserve">1000, 1050, 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 xml:space="preserve">7000, 7001, 7002, 7003, 7004, 7005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каб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</w:rPr>
              <w:t xml:space="preserve">№ 2</w:t>
            </w:r>
            <w:r>
              <w:rPr>
                <w:rFonts w:ascii="Times New Roman" w:hAnsi="Times New Roman" w:eastAsia="Times New Roman"/>
              </w:rPr>
              <w:t xml:space="preserve">09</w:t>
            </w:r>
            <w:r>
              <w:rPr>
                <w:rFonts w:ascii="Times New Roman" w:hAnsi="Times New Roman" w:eastAsia="Times New Roman"/>
              </w:rPr>
              <w:t xml:space="preserve"> Григолия Е.Э.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 xml:space="preserve">1001, 1002, 1003, 1010, 1060, 2120, 2121, 2200, 2201, 2202, 2203, 2300, 2350, 2510, 2511, 2512, 2516, 5450, 5453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каб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</w:rPr>
              <w:t xml:space="preserve">№ 2</w:t>
            </w:r>
            <w:r>
              <w:rPr>
                <w:rFonts w:ascii="Times New Roman" w:hAnsi="Times New Roman" w:eastAsia="Times New Roman"/>
              </w:rPr>
              <w:t xml:space="preserve">09</w:t>
            </w:r>
            <w:r>
              <w:rPr>
                <w:rFonts w:ascii="Times New Roman" w:hAnsi="Times New Roman" w:eastAsia="Times New Roman"/>
              </w:rPr>
              <w:t xml:space="preserve"> Манина М.Е.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1100-1111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каб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213 Шевченко Т.Б.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 xml:space="preserve">1006, 1008, 1080, 1090, 3100, 3102, 3150, 3200, 5600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каб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212 Емельянова С.В.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5460,5461, 5500, 5502,5503, 5505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</w:t>
            </w:r>
            <w:r>
              <w:rPr>
                <w:rFonts w:ascii="Times New Roman" w:hAnsi="Times New Roman" w:eastAsia="Times New Roman"/>
              </w:rPr>
              <w:t xml:space="preserve">аб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211 Артифексова А.А.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050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 xml:space="preserve">2514, 2515, 2600, 2610, 2611, 2650, 2850, 4201, 4601, 4701, 4801, 4802, 4803, 4804, 4805, 4806, 5120, 5121, 5122, 8000, 8001, 8002, 8003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каб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211 Головачева А.Р.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39"/>
        </w:trPr>
        <w:tc>
          <w:tcPr>
            <w:gridSpan w:val="2"/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Номера форм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№ кабинета,</w:t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jc w:val="center"/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Ф.И.О. специалиста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Замечания и роспись специалиста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gridSpan w:val="2"/>
            <w:tcW w:w="308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Ф №16-ВН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к. № </w:t>
            </w:r>
            <w:r>
              <w:rPr>
                <w:rFonts w:ascii="Times New Roman" w:hAnsi="Times New Roman" w:eastAsia="Times New Roman"/>
              </w:rPr>
              <w:t xml:space="preserve">231 </w:t>
            </w:r>
            <w:r>
              <w:rPr>
                <w:rFonts w:ascii="Times New Roman" w:hAnsi="Times New Roman" w:eastAsia="Times New Roman"/>
              </w:rPr>
              <w:t xml:space="preserve">Ключева С.В.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2"/>
            <w:tcW w:w="308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Ф №57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к. № 231 </w:t>
            </w:r>
            <w:r>
              <w:rPr>
                <w:rFonts w:ascii="Times New Roman" w:hAnsi="Times New Roman" w:eastAsia="Times New Roman"/>
              </w:rPr>
              <w:t xml:space="preserve">Афиногенова Т.В.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2"/>
            <w:tcW w:w="308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Ф.14ДС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к. </w:t>
            </w:r>
            <w:r>
              <w:rPr>
                <w:rFonts w:ascii="Times New Roman" w:hAnsi="Times New Roman" w:eastAsia="Times New Roman"/>
              </w:rPr>
              <w:t xml:space="preserve">№ </w:t>
            </w:r>
            <w:r>
              <w:rPr>
                <w:rFonts w:ascii="Times New Roman" w:hAnsi="Times New Roman" w:eastAsia="Times New Roman"/>
              </w:rPr>
              <w:t xml:space="preserve">230 Долгова С.В.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2"/>
            <w:tcW w:w="308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Ф №14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к. № </w:t>
            </w:r>
            <w:r>
              <w:rPr>
                <w:rFonts w:ascii="Times New Roman" w:hAnsi="Times New Roman" w:eastAsia="Times New Roman"/>
              </w:rPr>
              <w:t xml:space="preserve">2</w:t>
            </w:r>
            <w:r>
              <w:rPr>
                <w:rFonts w:ascii="Times New Roman" w:hAnsi="Times New Roman" w:eastAsia="Times New Roman"/>
              </w:rPr>
              <w:t xml:space="preserve">31 </w:t>
            </w:r>
            <w:r>
              <w:rPr>
                <w:rFonts w:ascii="Times New Roman" w:hAnsi="Times New Roman" w:eastAsia="Times New Roman"/>
              </w:rPr>
              <w:t xml:space="preserve">Хилов А.В.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2"/>
            <w:tcW w:w="308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Ф №12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к. № </w:t>
            </w:r>
            <w:r>
              <w:rPr>
                <w:rFonts w:ascii="Times New Roman" w:hAnsi="Times New Roman" w:eastAsia="Times New Roman"/>
              </w:rPr>
              <w:t xml:space="preserve">209 </w:t>
            </w:r>
            <w:r>
              <w:rPr>
                <w:rFonts w:ascii="Times New Roman" w:hAnsi="Times New Roman" w:eastAsia="Times New Roman"/>
              </w:rPr>
              <w:t xml:space="preserve">Масленикова Н.Н.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2"/>
            <w:tcW w:w="30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</w:rPr>
              <w:t xml:space="preserve">Отчет о выявленной патологии </w:t>
            </w:r>
            <w:r>
              <w:rPr>
                <w:rFonts w:ascii="Times New Roman" w:hAnsi="Times New Roman" w:eastAsia="Times New Roman"/>
                <w:sz w:val="16"/>
                <w:szCs w:val="16"/>
              </w:rPr>
              <w:t xml:space="preserve">щит</w:t>
            </w:r>
            <w:r>
              <w:rPr>
                <w:rFonts w:ascii="Times New Roman" w:hAnsi="Times New Roman" w:eastAsia="Times New Roman"/>
                <w:sz w:val="16"/>
                <w:szCs w:val="16"/>
              </w:rPr>
              <w:t xml:space="preserve">.ж</w:t>
            </w:r>
            <w:r>
              <w:rPr>
                <w:rFonts w:ascii="Times New Roman" w:hAnsi="Times New Roman" w:eastAsia="Times New Roman"/>
                <w:sz w:val="16"/>
                <w:szCs w:val="16"/>
              </w:rPr>
              <w:t xml:space="preserve">елезы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к. № 342 </w:t>
            </w:r>
            <w:r>
              <w:rPr>
                <w:rFonts w:ascii="Times New Roman" w:hAnsi="Times New Roman" w:eastAsia="Times New Roman"/>
              </w:rPr>
              <w:t xml:space="preserve">Тарасова Н.И.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2"/>
            <w:tcW w:w="308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Ф №13,32.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к. № </w:t>
            </w:r>
            <w:r>
              <w:rPr>
                <w:rFonts w:ascii="Times New Roman" w:hAnsi="Times New Roman" w:eastAsia="Times New Roman"/>
              </w:rPr>
              <w:t xml:space="preserve">232 Варенова Л.Е.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2"/>
            <w:tcW w:w="308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Ф №15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к. № </w:t>
            </w:r>
            <w:r>
              <w:rPr>
                <w:rFonts w:ascii="Times New Roman" w:hAnsi="Times New Roman" w:eastAsia="Times New Roman"/>
              </w:rPr>
              <w:t xml:space="preserve">213 </w:t>
            </w:r>
            <w:r>
              <w:rPr>
                <w:rFonts w:ascii="Times New Roman" w:hAnsi="Times New Roman" w:eastAsia="Times New Roman"/>
              </w:rPr>
              <w:t xml:space="preserve">Шевченко Т.Б.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2"/>
            <w:tcW w:w="308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Ф №1-РБ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к. № </w:t>
            </w:r>
            <w:r>
              <w:rPr>
                <w:rFonts w:ascii="Times New Roman" w:hAnsi="Times New Roman" w:eastAsia="Times New Roman"/>
              </w:rPr>
              <w:t xml:space="preserve">211 </w:t>
            </w:r>
            <w:r>
              <w:rPr>
                <w:rFonts w:ascii="Times New Roman" w:hAnsi="Times New Roman" w:eastAsia="Times New Roman"/>
              </w:rPr>
              <w:t xml:space="preserve">Головачева А.Р.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gridSpan w:val="2"/>
            <w:tcW w:w="30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Итоговое собеседование по ф. №30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каб</w:t>
            </w:r>
            <w:r>
              <w:rPr>
                <w:rFonts w:ascii="Times New Roman" w:hAnsi="Times New Roman" w:eastAsia="Times New Roman"/>
                <w:b/>
              </w:rPr>
              <w:t xml:space="preserve">. </w:t>
            </w:r>
            <w:r>
              <w:rPr>
                <w:rFonts w:ascii="Times New Roman" w:hAnsi="Times New Roman" w:eastAsia="Times New Roman"/>
                <w:b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</w:rPr>
              <w:t xml:space="preserve">232 </w:t>
            </w:r>
            <w:r>
              <w:rPr>
                <w:rFonts w:ascii="Times New Roman" w:hAnsi="Times New Roman" w:eastAsia="Times New Roman"/>
                <w:b/>
              </w:rPr>
              <w:t xml:space="preserve">Варенова Л.Е.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c>
          <w:tcPr>
            <w:gridSpan w:val="2"/>
            <w:tcW w:w="30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Итоговое собеседование по ф. №30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каб</w:t>
            </w:r>
            <w:r>
              <w:rPr>
                <w:rFonts w:ascii="Times New Roman" w:hAnsi="Times New Roman" w:eastAsia="Times New Roman"/>
                <w:b/>
              </w:rPr>
              <w:t xml:space="preserve">. </w:t>
            </w:r>
            <w:r>
              <w:rPr>
                <w:rFonts w:ascii="Times New Roman" w:hAnsi="Times New Roman" w:eastAsia="Times New Roman"/>
                <w:b/>
              </w:rPr>
              <w:t xml:space="preserve">№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213 Шевченко Т.Б.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footnotePr/>
      <w:endnotePr/>
      <w:type w:val="nextPage"/>
      <w:pgSz w:w="11906" w:h="16838" w:orient="portrait"/>
      <w:pgMar w:top="284" w:right="284" w:bottom="346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Название Знак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tblPr/>
  </w:style>
  <w:style w:type="table" w:styleId="69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92</cp:revision>
  <dcterms:created xsi:type="dcterms:W3CDTF">2011-10-26T06:39:00Z</dcterms:created>
  <dcterms:modified xsi:type="dcterms:W3CDTF">2023-12-26T13:02:04Z</dcterms:modified>
  <cp:version>786432</cp:version>
</cp:coreProperties>
</file>